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color w:val="424242"/>
          <w:sz w:val="28"/>
          <w:szCs w:val="28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424242"/>
          <w:sz w:val="28"/>
          <w:szCs w:val="28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AAUW-FL Leader on Loan </w:t>
      </w:r>
      <w:r>
        <w:rPr>
          <w:rFonts w:ascii="Times New Roman" w:hAnsi="Times New Roman"/>
          <w:b/>
          <w:bCs/>
          <w:outline w:val="false"/>
          <w:color w:val="424242"/>
          <w:sz w:val="28"/>
          <w:szCs w:val="28"/>
          <w:u w:val="none" w:color="FF0000"/>
          <w:lang w:val="en-US"/>
          <w14:textFill>
            <w14:solidFill>
              <w14:srgbClr w14:val="424242"/>
            </w14:solidFill>
          </w14:textFill>
        </w:rPr>
        <w:t>Program</w:t>
      </w:r>
      <w:r>
        <w:rPr>
          <w:rFonts w:ascii="Times New Roman" w:hAnsi="Times New Roman"/>
          <w:b/>
          <w:bCs/>
          <w:outline w:val="false"/>
          <w:color w:val="424242"/>
          <w:sz w:val="28"/>
          <w:szCs w:val="28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and Sponsored Speaker</w:t>
      </w:r>
      <w:r>
        <w:rPr>
          <w:rFonts w:ascii="Times New Roman" w:hAnsi="Times New Roman"/>
          <w:b/>
          <w:bCs/>
          <w:outline w:val="false"/>
          <w:color w:val="424242"/>
          <w:sz w:val="28"/>
          <w:szCs w:val="28"/>
          <w:u w:val="none" w:color="FF0000"/>
          <w:lang w:val="en-US"/>
          <w14:textFill>
            <w14:solidFill>
              <w14:srgbClr w14:val="424242"/>
            </w14:solidFill>
          </w14:textFill>
        </w:rPr>
        <w:t>s</w:t>
      </w:r>
      <w:r>
        <w:rPr>
          <w:rFonts w:ascii="Times New Roman" w:hAnsi="Times New Roman"/>
          <w:b/>
          <w:bCs/>
          <w:outline w:val="false"/>
          <w:color w:val="424242"/>
          <w:sz w:val="28"/>
          <w:szCs w:val="28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Bureau</w:t>
      </w:r>
    </w:p>
    <w:p>
      <w:pPr>
        <w:pStyle w:val="BodyA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color w:val="424242"/>
          <w:sz w:val="28"/>
          <w:szCs w:val="28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424242"/>
          <w:sz w:val="28"/>
          <w:szCs w:val="28"/>
          <w:u w:val="none" w:color="424242"/>
          <w:lang w:val="en-US"/>
          <w14:textFill>
            <w14:solidFill>
              <w14:srgbClr w14:val="424242"/>
            </w14:solidFill>
          </w14:textFill>
        </w:rPr>
        <w:t>General Guidelines</w:t>
      </w:r>
    </w:p>
    <w:p>
      <w:pPr>
        <w:pStyle w:val="BodyA"/>
        <w:rPr>
          <w:rFonts w:ascii="Times New Roman" w:hAnsi="Times New Roman" w:eastAsia="Times New Roman" w:cs="Times New Roman"/>
          <w:b/>
          <w:b/>
          <w:bCs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Board and P</w:t>
      </w:r>
      <w:r>
        <w:rPr>
          <w:rFonts w:ascii="Times New Roman" w:hAnsi="Times New Roman"/>
          <w:b/>
          <w:bCs/>
          <w:outline w:val="false"/>
          <w:color w:val="424242"/>
          <w:u w:val="none" w:color="424242"/>
          <w:lang w:val="pt-PT"/>
          <w14:textFill>
            <w14:solidFill>
              <w14:srgbClr w14:val="424242"/>
            </w14:solidFill>
          </w14:textFill>
        </w:rPr>
        <w:t xml:space="preserve">rogram </w:t>
      </w:r>
      <w:r>
        <w:rPr>
          <w:rFonts w:ascii="Times New Roman" w:hAnsi="Times New Roman"/>
          <w:b/>
          <w:bCs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Committee</w:t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Determine which board members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or members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will participate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in the Leader on Loan Program and Speakers Bureau.</w:t>
      </w:r>
    </w:p>
    <w:p>
      <w:pPr>
        <w:pStyle w:val="ListParagraph"/>
        <w:numPr>
          <w:ilvl w:val="1"/>
          <w:numId w:val="1"/>
        </w:numPr>
        <w:bidi w:val="0"/>
        <w:spacing w:before="0" w:after="0"/>
        <w:ind w:left="144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Leader on Loan: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A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leadership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resource for branches seeking assistance with declining membership, possible disbanding, lack of volunteer members for leadership roles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or other organizational or program challenges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i/>
          <w:i/>
          <w:iCs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Speakers Bureau: 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P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ersons with expertise in various areas of interest to branches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,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such as equal pay, women’s economic security, strategic planning, membership; recruitment and retention, 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and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introduction of State 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and 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National research projects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i/>
          <w:i/>
          <w:iCs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Determine whether additional leaders or speakers may be needed</w:t>
      </w:r>
      <w:r>
        <w:rPr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.  </w:t>
      </w:r>
    </w:p>
    <w:p>
      <w:pPr>
        <w:pStyle w:val="ListParagraph"/>
        <w:numPr>
          <w:ilvl w:val="1"/>
          <w:numId w:val="1"/>
        </w:numPr>
        <w:bidi w:val="0"/>
        <w:spacing w:before="0" w:after="0"/>
        <w:ind w:left="144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Leaders on Loan: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Primarily current and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former officers.  </w:t>
      </w:r>
    </w:p>
    <w:p>
      <w:pPr>
        <w:pStyle w:val="ListParagraph"/>
        <w:numPr>
          <w:ilvl w:val="1"/>
          <w:numId w:val="1"/>
        </w:numPr>
        <w:bidi w:val="0"/>
        <w:spacing w:before="0" w:after="0"/>
        <w:ind w:left="144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Speakers Bureau: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A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nyone with the requisite expertise may be recruited.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Review and approve application materials and procedures provided by the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Program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Director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Refer all requests under this heading to the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Program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Director.</w:t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b/>
          <w:b/>
          <w:bCs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Director for Program</w:t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Maintain a directory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 of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leaders on loan and speakers.  This may be listed on the website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Receive applications and communications regarding these programs from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branches.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Consult with the president and the program committee as necessary and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approve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these applications. 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Facilitate contact between the leader/speaker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and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the branch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. </w:t>
      </w:r>
    </w:p>
    <w:p>
      <w:pPr>
        <w:pStyle w:val="ListParagraph"/>
        <w:numPr>
          <w:ilvl w:val="1"/>
          <w:numId w:val="1"/>
        </w:numPr>
        <w:bidi w:val="0"/>
        <w:spacing w:before="0" w:after="0"/>
        <w:ind w:left="144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I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f the visit is to be in person,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the branch will be responsible for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logistics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and all local arrangements.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The state will pay for transportation.  If the president travels to a branch,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transportation expenses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will be covered under the president's travel line item.  </w:t>
      </w:r>
    </w:p>
    <w:p>
      <w:pPr>
        <w:pStyle w:val="ListParagraph"/>
        <w:numPr>
          <w:ilvl w:val="1"/>
          <w:numId w:val="1"/>
        </w:numPr>
        <w:bidi w:val="0"/>
        <w:spacing w:before="0" w:after="0"/>
        <w:ind w:left="144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If the visit is to be virtual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:  </w:t>
      </w:r>
    </w:p>
    <w:p>
      <w:pPr>
        <w:pStyle w:val="ListParagraph"/>
        <w:numPr>
          <w:ilvl w:val="2"/>
          <w:numId w:val="1"/>
        </w:numPr>
        <w:bidi w:val="0"/>
        <w:spacing w:before="0" w:after="0"/>
        <w:ind w:left="2160" w:right="0" w:hanging="302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(1)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Leader on Loan: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A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rrange for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hosting through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Zoom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or other conferencing service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through the state Communication Committee or the branch.</w:t>
      </w:r>
    </w:p>
    <w:p>
      <w:pPr>
        <w:pStyle w:val="ListParagraph"/>
        <w:numPr>
          <w:ilvl w:val="2"/>
          <w:numId w:val="1"/>
        </w:numPr>
        <w:bidi w:val="0"/>
        <w:spacing w:before="0" w:after="0"/>
        <w:ind w:left="2160" w:right="0" w:hanging="302"/>
        <w:jc w:val="left"/>
        <w:rPr>
          <w:rFonts w:ascii="Times New Roman" w:hAnsi="Times New Roman"/>
          <w:i/>
          <w:i/>
          <w:iCs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(2)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Speaker: The speaker is responsible for creating the program and recruiting a monitor to field questions and review chats. The 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speaker or branch may use the 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state Zoom account or another account.  A prerecorded program may be used accessing AAUW State and National files.  Branch contacts would need to promote the program, coordinate sending invitations and conduct follow-up surveys</w:t>
      </w:r>
      <w:r>
        <w:rPr>
          <w:rFonts w:ascii="Times New Roman" w:hAnsi="Times New Roman"/>
          <w:i w:val="false"/>
          <w:iCs w:val="false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.   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outline w:val="false"/>
          <w:color w:val="424242"/>
          <w:u w:val="none" w:color="FF0000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FF0000"/>
          <w14:textFill>
            <w14:solidFill>
              <w14:srgbClr w14:val="424242"/>
            </w14:solidFill>
          </w14:textFill>
        </w:rPr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outline w:val="false"/>
          <w:color w:val="424242"/>
          <w:u w:val="none" w:color="FF0000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FF0000"/>
          <w14:textFill>
            <w14:solidFill>
              <w14:srgbClr w14:val="424242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Plan and execute a program of branch awareness via FloriVision, webpage,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or other outlets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to encourage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branch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participation.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Provide a clear message to the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b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ranch leadership that this AAUW FL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-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>sponsored program is a funded resource open to all branches.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rFonts w:ascii="Times New Roman" w:hAnsi="Times New Roman"/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>Assessment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: Track visits and outcomes for </w:t>
      </w:r>
      <w:r>
        <w:rPr>
          <w:rFonts w:ascii="Times New Roman" w:hAnsi="Times New Roman"/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reporting to the </w:t>
      </w:r>
      <w:r>
        <w:rPr>
          <w:rFonts w:ascii="Times New Roman" w:hAnsi="Times New Roman"/>
          <w:outline w:val="false"/>
          <w:color w:val="424242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Board. </w:t>
      </w:r>
    </w:p>
    <w:p>
      <w:pPr>
        <w:pStyle w:val="BodyAA"/>
        <w:numPr>
          <w:ilvl w:val="1"/>
          <w:numId w:val="2"/>
        </w:numPr>
        <w:bidi w:val="0"/>
        <w:spacing w:before="0" w:after="0"/>
        <w:ind w:left="1440" w:right="0" w:hanging="360"/>
        <w:jc w:val="left"/>
        <w:rPr>
          <w:rFonts w:ascii="Times New Roman" w:hAnsi="Times New Roman"/>
          <w:outline w:val="false"/>
          <w:color w:val="424242"/>
          <w:sz w:val="24"/>
          <w:szCs w:val="24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sz w:val="24"/>
          <w:szCs w:val="24"/>
          <w:u w:val="none" w:color="FF0000"/>
          <w:lang w:val="en-US"/>
          <w14:textFill>
            <w14:solidFill>
              <w14:srgbClr w14:val="424242"/>
            </w14:solidFill>
          </w14:textFill>
        </w:rPr>
        <w:t>G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ather data (feedback, survey, 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and 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424242"/>
          <w:lang w:val="en-US"/>
          <w14:textFill>
            <w14:solidFill>
              <w14:srgbClr w14:val="424242"/>
            </w14:solidFill>
          </w14:textFill>
        </w:rPr>
        <w:t>post-visit reports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FF0000"/>
          <w:lang w:val="en-US"/>
          <w14:textFill>
            <w14:solidFill>
              <w14:srgbClr w14:val="424242"/>
            </w14:solidFill>
          </w14:textFill>
        </w:rPr>
        <w:t>.</w:t>
      </w:r>
    </w:p>
    <w:p>
      <w:pPr>
        <w:pStyle w:val="BodyAA"/>
        <w:numPr>
          <w:ilvl w:val="1"/>
          <w:numId w:val="2"/>
        </w:numPr>
        <w:bidi w:val="0"/>
        <w:spacing w:before="0" w:after="0"/>
        <w:ind w:left="1440" w:right="0" w:hanging="360"/>
        <w:jc w:val="left"/>
        <w:rPr>
          <w:rFonts w:ascii="Times New Roman" w:hAnsi="Times New Roman"/>
          <w:outline w:val="false"/>
          <w:color w:val="424242"/>
          <w:sz w:val="24"/>
          <w:szCs w:val="24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sz w:val="24"/>
          <w:szCs w:val="24"/>
          <w:u w:val="none" w:color="FF0000"/>
          <w:lang w:val="en-US"/>
          <w14:textFill>
            <w14:solidFill>
              <w14:srgbClr w14:val="424242"/>
            </w14:solidFill>
          </w14:textFill>
        </w:rPr>
        <w:t>C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424242"/>
          <w:lang w:val="en-US"/>
          <w14:textFill>
            <w14:solidFill>
              <w14:srgbClr w14:val="424242"/>
            </w14:solidFill>
          </w14:textFill>
        </w:rPr>
        <w:t>onduct LOL Program evaluation.</w:t>
      </w:r>
    </w:p>
    <w:p>
      <w:pPr>
        <w:pStyle w:val="BodyAA"/>
        <w:numPr>
          <w:ilvl w:val="1"/>
          <w:numId w:val="2"/>
        </w:numPr>
        <w:bidi w:val="0"/>
        <w:spacing w:before="0" w:after="0"/>
        <w:ind w:left="1440" w:right="0" w:hanging="360"/>
        <w:jc w:val="left"/>
        <w:rPr>
          <w:rFonts w:ascii="Times New Roman" w:hAnsi="Times New Roman"/>
          <w:outline w:val="false"/>
          <w:color w:val="424242"/>
          <w:sz w:val="24"/>
          <w:szCs w:val="24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false"/>
          <w:color w:val="424242"/>
          <w:sz w:val="24"/>
          <w:szCs w:val="24"/>
          <w:u w:val="none" w:color="FF0000"/>
          <w:lang w:val="en-US"/>
          <w14:textFill>
            <w14:solidFill>
              <w14:srgbClr w14:val="424242"/>
            </w14:solidFill>
          </w14:textFill>
        </w:rPr>
        <w:t>R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eport outcomes to 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the 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424242"/>
          <w:lang w:val="en-US"/>
          <w14:textFill>
            <w14:solidFill>
              <w14:srgbClr w14:val="424242"/>
            </w14:solidFill>
          </w14:textFill>
        </w:rPr>
        <w:t xml:space="preserve">Board as an 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End-of-Year </w:t>
      </w:r>
      <w:r>
        <w:rPr>
          <w:rFonts w:ascii="Times New Roman" w:hAnsi="Times New Roman"/>
          <w:outline w:val="false"/>
          <w:color w:val="424242"/>
          <w:sz w:val="24"/>
          <w:szCs w:val="24"/>
          <w:u w:val="none" w:color="424242"/>
          <w:lang w:val="en-US"/>
          <w14:textFill>
            <w14:solidFill>
              <w14:srgbClr w14:val="424242"/>
            </w14:solidFill>
          </w14:textFill>
        </w:rPr>
        <w:t>report.</w:t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b/>
          <w:b/>
          <w:bCs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  <w:t>Branches</w:t>
      </w:r>
    </w:p>
    <w:p>
      <w:pPr>
        <w:pStyle w:val="BodyA"/>
        <w:rPr>
          <w:rFonts w:ascii="Times New Roman" w:hAnsi="Times New Roman" w:eastAsia="Times New Roman" w:cs="Times New Roman"/>
          <w:b/>
          <w:b/>
          <w:bCs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  <w:t>1.</w:t>
      </w:r>
      <w:r>
        <w:rPr>
          <w:rFonts w:eastAsia="Times New Roman" w:cs="Times New Roman" w:ascii="Times New Roman" w:hAnsi="Times New Roman"/>
          <w:b/>
          <w:bCs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  <w:t xml:space="preserve">Plan for programming needs and request speakers early in the </w:t>
      </w:r>
      <w:r>
        <w:rPr>
          <w:rFonts w:ascii="Times New Roman" w:hAnsi="Times New Roman"/>
          <w:outline w:val="false"/>
          <w:color w:val="424242"/>
          <w:u w:val="none" w:color="FF0000"/>
          <w:lang w:val="it-IT"/>
          <w14:textFill>
            <w14:solidFill>
              <w14:srgbClr w14:val="424242"/>
            </w14:solidFill>
          </w14:textFill>
        </w:rPr>
        <w:t xml:space="preserve">calendar </w:t>
      </w:r>
      <w:r>
        <w:rPr>
          <w:rFonts w:ascii="Times New Roman" w:hAnsi="Times New Roman"/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  <w:t>year</w:t>
      </w:r>
      <w:r>
        <w:rPr>
          <w:rFonts w:ascii="Times New Roman" w:hAnsi="Times New Roman"/>
          <w:outline w:val="false"/>
          <w:color w:val="424242"/>
          <w:u w:val="none" w:color="FF0000"/>
          <w:lang w:val="it-IT"/>
          <w14:textFill>
            <w14:solidFill>
              <w14:srgbClr w14:val="424242"/>
            </w14:solidFill>
          </w14:textFill>
        </w:rPr>
        <w:t xml:space="preserve"> for the </w:t>
        <w:tab/>
        <w:t xml:space="preserve">next year. </w:t>
        <w:tab/>
        <w:tab/>
        <w:tab/>
        <w:tab/>
        <w:tab/>
        <w:tab/>
        <w:tab/>
        <w:tab/>
        <w:tab/>
        <w:tab/>
        <w:tab/>
      </w:r>
      <w:r>
        <w:rPr>
          <w:outline w:val="false"/>
          <w:color w:val="424242"/>
          <w:u w:val="none" w:color="FF0000"/>
          <w:lang w:val="en-US"/>
          <w14:textFill>
            <w14:solidFill>
              <w14:srgbClr w14:val="424242"/>
            </w14:solidFill>
          </w14:textFill>
        </w:rPr>
        <w:t xml:space="preserve">2. </w:t>
      </w:r>
      <w:r>
        <w:rPr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  <w:t>Plan for logistics expenses and arrangements for the visiting speaker or leader.</w:t>
        <w:tab/>
        <w:tab/>
        <w:t>3. Complete required forms</w:t>
      </w:r>
      <w:r>
        <w:rPr>
          <w:outline w:val="false"/>
          <w:color w:val="424242"/>
          <w:u w:val="none" w:color="FF0000"/>
          <w:lang w:val="it-IT"/>
          <w14:textFill>
            <w14:solidFill>
              <w14:srgbClr w14:val="424242"/>
            </w14:solidFill>
          </w14:textFill>
        </w:rPr>
        <w:t>,</w:t>
      </w:r>
      <w:r>
        <w:rPr>
          <w:outline w:val="false"/>
          <w:color w:val="424242"/>
          <w:u w:val="none" w:color="424242"/>
          <w:lang w:val="it-IT"/>
          <w14:textFill>
            <w14:solidFill>
              <w14:srgbClr w14:val="424242"/>
            </w14:solidFill>
          </w14:textFill>
        </w:rPr>
        <w:t xml:space="preserve"> including the evaluation of the visit.  </w:t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>
          <w:rFonts w:ascii="Times New Roman" w:hAnsi="Times New Roman" w:eastAsia="Times New Roman" w:cs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</w:r>
    </w:p>
    <w:p>
      <w:pPr>
        <w:pStyle w:val="BodyA"/>
        <w:rPr/>
      </w:pPr>
      <w:r>
        <w:rPr>
          <w:rFonts w:eastAsia="Times New Roman" w:cs="Times New Roman" w:ascii="Times New Roman" w:hAnsi="Times New Roman"/>
          <w:outline w:val="false"/>
          <w:color w:val="424242"/>
          <w:u w:val="none" w:color="424242"/>
          <w14:textFill>
            <w14:solidFill>
              <w14:srgbClr w14:val="424242"/>
            </w14:solidFill>
          </w14:textFill>
        </w:rPr>
        <w:tab/>
        <w:tab/>
        <w:tab/>
        <w:tab/>
        <w:tab/>
        <w:tab/>
        <w:tab/>
        <w:tab/>
        <w:tab/>
        <w:tab/>
        <w:tab/>
        <w:t>BCH 7/20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A">
    <w:name w:val="Body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BodyAA">
    <w:name w:val="Body A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numbering" w:styleId="ImportedStyle2">
    <w:name w:val="Imported Style 2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LibreOffice/7.1.8.1$Windows_X86_64 LibreOffice_project/e1f30c802c3269a1d052614453f260e49458c82c</Application>
  <AppVersion>15.0000</AppVersion>
  <Pages>3</Pages>
  <Words>456</Words>
  <Characters>2526</Characters>
  <CharactersWithSpaces>2997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2021-08-30T12:52:30Z</dcterms:modified>
  <cp:revision>1</cp:revision>
  <dc:subject/>
  <dc:title/>
</cp:coreProperties>
</file>